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TOCU-T201215 Sandusky Branch V3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upgrading the ITM’s, and expanded call center hours to better serve our members!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